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583" w:rsidRDefault="00F04583"/>
    <w:p w:rsidR="00FD7629" w:rsidRDefault="00FD7629"/>
    <w:p w:rsidR="00FD7629" w:rsidRDefault="00FD7629" w:rsidP="00FD7629">
      <w:pPr>
        <w:pStyle w:val="Titre1"/>
      </w:pPr>
      <w:bookmarkStart w:id="0" w:name="_Toc10622019"/>
      <w:r w:rsidRPr="00862152">
        <w:t>Aides aux entreprises face à la hausse des prix de l’énergie</w:t>
      </w:r>
    </w:p>
    <w:p w:rsidR="00FD7629" w:rsidRDefault="00FD7629" w:rsidP="00FD7629">
      <w:pPr>
        <w:pStyle w:val="chap"/>
        <w:spacing w:after="0"/>
      </w:pPr>
    </w:p>
    <w:p w:rsidR="00FD7629" w:rsidRPr="00FD7629" w:rsidRDefault="00FD7629" w:rsidP="00FD7629">
      <w:pPr>
        <w:pStyle w:val="chap"/>
        <w:spacing w:after="0"/>
        <w:rPr>
          <w:i w:val="0"/>
          <w:iCs/>
        </w:rPr>
      </w:pPr>
      <w:r w:rsidRPr="00FD7629">
        <w:rPr>
          <w:i w:val="0"/>
          <w:iCs/>
        </w:rPr>
        <w:t>Lettre du 9 janvier 2023</w:t>
      </w:r>
    </w:p>
    <w:p w:rsidR="00FD7629" w:rsidRDefault="00FD7629" w:rsidP="00FD7629">
      <w:pPr>
        <w:pStyle w:val="chap"/>
        <w:spacing w:after="0"/>
      </w:pPr>
      <w:r w:rsidRPr="00862152">
        <w:t>Pour soutenir les entreprises face à la hausse des prix de l'énergie, les modalités d’éligibilité aux différentes aides de l'État aux entreprises, collectivités et associations évoluent pour 2023.</w:t>
      </w:r>
    </w:p>
    <w:p w:rsidR="00FD7629" w:rsidRDefault="00FD7629" w:rsidP="00FD7629">
      <w:pPr>
        <w:pStyle w:val="Titre2"/>
        <w:spacing w:after="0"/>
        <w:rPr>
          <w:bCs/>
        </w:rPr>
      </w:pPr>
      <w:r w:rsidRPr="00816083">
        <w:rPr>
          <w:bCs/>
        </w:rPr>
        <w:t>Bouclier tarifaire pour les TPE</w:t>
      </w:r>
    </w:p>
    <w:p w:rsidR="00FD7629" w:rsidRDefault="00FD7629" w:rsidP="00FD7629">
      <w:pPr>
        <w:pStyle w:val="Titre3"/>
      </w:pPr>
      <w:r>
        <w:t xml:space="preserve">Pour qui ? </w:t>
      </w:r>
    </w:p>
    <w:p w:rsidR="00FD7629" w:rsidRDefault="00FD7629" w:rsidP="00FD7629">
      <w:r>
        <w:t>L’aide est destinée a</w:t>
      </w:r>
      <w:r w:rsidRPr="00862152">
        <w:t xml:space="preserve">ux TPE </w:t>
      </w:r>
      <w:r>
        <w:t>(</w:t>
      </w:r>
      <w:r w:rsidRPr="00862152">
        <w:t>moins de 10 salariés et ayant un chiffre d'affaires ou un total de bilan annuels inférieur ou égal à 2 M€</w:t>
      </w:r>
      <w:r>
        <w:t>)</w:t>
      </w:r>
      <w:r w:rsidRPr="00862152">
        <w:t xml:space="preserve"> et ayant un compteur électrique d’une puissance inférieure ou égale à 36 kVA</w:t>
      </w:r>
      <w:r>
        <w:t>.</w:t>
      </w:r>
    </w:p>
    <w:p w:rsidR="00FD7629" w:rsidRDefault="00FD7629" w:rsidP="00FD7629">
      <w:pPr>
        <w:pStyle w:val="Titre3"/>
      </w:pPr>
      <w:r>
        <w:t xml:space="preserve">Quel type d’aide ? </w:t>
      </w:r>
    </w:p>
    <w:p w:rsidR="00FD7629" w:rsidRDefault="00FD7629" w:rsidP="00FD7629">
      <w:r>
        <w:t>L’aide permet</w:t>
      </w:r>
      <w:r w:rsidRPr="00862152">
        <w:t xml:space="preserve"> de limiter la hausse du prix du gaz</w:t>
      </w:r>
      <w:r>
        <w:t xml:space="preserve"> et de l’électricité</w:t>
      </w:r>
      <w:r w:rsidRPr="00862152">
        <w:t xml:space="preserve"> à 15 %</w:t>
      </w:r>
      <w:r>
        <w:t>.</w:t>
      </w:r>
    </w:p>
    <w:p w:rsidR="00FD7629" w:rsidRDefault="00FD7629" w:rsidP="00FD7629">
      <w:pPr>
        <w:pStyle w:val="Titre3"/>
      </w:pPr>
      <w:r>
        <w:t xml:space="preserve">Comment faire la demande ? </w:t>
      </w:r>
    </w:p>
    <w:p w:rsidR="00FD7629" w:rsidRPr="00862152" w:rsidRDefault="00FD7629" w:rsidP="00FD7629">
      <w:r>
        <w:t xml:space="preserve">Le client doit envoyer à son fournisseur d’énergie une </w:t>
      </w:r>
      <w:hyperlink r:id="rId5" w:history="1">
        <w:r w:rsidRPr="007E54FB">
          <w:rPr>
            <w:rStyle w:val="Lienhypertexte"/>
          </w:rPr>
          <w:t xml:space="preserve">attestation </w:t>
        </w:r>
        <w:r>
          <w:rPr>
            <w:rStyle w:val="Lienhypertexte"/>
          </w:rPr>
          <w:t>sur</w:t>
        </w:r>
      </w:hyperlink>
      <w:r>
        <w:rPr>
          <w:rStyle w:val="Lienhypertexte"/>
        </w:rPr>
        <w:t xml:space="preserve"> l’honneur</w:t>
      </w:r>
      <w:r>
        <w:t xml:space="preserve"> avant le </w:t>
      </w:r>
      <w:r>
        <w:br/>
        <w:t>31 mars 2023 (ou au plus tard un mois après la prise d'effet de leur contrat si elle est postérieure au 28 février 2023).</w:t>
      </w:r>
    </w:p>
    <w:p w:rsidR="00FD7629" w:rsidRDefault="00FD7629" w:rsidP="00FD7629">
      <w:pPr>
        <w:pStyle w:val="Titre2"/>
      </w:pPr>
      <w:r w:rsidRPr="0029713E">
        <w:t>L’amortisseur électricité</w:t>
      </w:r>
    </w:p>
    <w:p w:rsidR="00FD7629" w:rsidRDefault="00FD7629" w:rsidP="00FD7629">
      <w:pPr>
        <w:pStyle w:val="Titre3"/>
      </w:pPr>
      <w:r>
        <w:t xml:space="preserve">Pour qui ? </w:t>
      </w:r>
    </w:p>
    <w:p w:rsidR="00FD7629" w:rsidRPr="0029713E" w:rsidRDefault="00FD7629" w:rsidP="00FD7629">
      <w:r w:rsidRPr="0029713E">
        <w:t>L’amortisseur électricité est destiné :</w:t>
      </w:r>
    </w:p>
    <w:p w:rsidR="00FD7629" w:rsidRDefault="00FD7629" w:rsidP="00FD7629">
      <w:pPr>
        <w:pStyle w:val="pucecarre"/>
      </w:pPr>
      <w:r>
        <w:t xml:space="preserve">Aux TPE (voir ci-dessus) ayant un compteur électrique d’une puissance supérieur à </w:t>
      </w:r>
      <w:r>
        <w:br/>
        <w:t>36 kVA (qui ne sont donc pas éligibles au bouclier tarifaire) ;</w:t>
      </w:r>
    </w:p>
    <w:p w:rsidR="00FD7629" w:rsidRDefault="00FD7629" w:rsidP="00FD7629">
      <w:pPr>
        <w:pStyle w:val="pucecarre"/>
      </w:pPr>
      <w:r>
        <w:t>Aux PME (moins de 250 salariés et dont le chiffre d’affaires est inférieur à 50 M€ ou dont le total du bilan annuel n’excède pas 43 M€) ;</w:t>
      </w:r>
    </w:p>
    <w:p w:rsidR="00FD7629" w:rsidRPr="00841B96" w:rsidRDefault="00FD7629" w:rsidP="00FD7629">
      <w:pPr>
        <w:pStyle w:val="pucecarre"/>
      </w:pPr>
      <w:r>
        <w:t>Aux personnes morales de droit privé dont les recettes annuelles provenant de financements publics, de taxes affectées, de dons ou de cotisations, sont supérieurs à 50% des recettes totales.</w:t>
      </w:r>
    </w:p>
    <w:p w:rsidR="00FD7629" w:rsidRDefault="00FD7629" w:rsidP="00FD7629">
      <w:pPr>
        <w:pStyle w:val="Titre3"/>
      </w:pPr>
      <w:r>
        <w:t xml:space="preserve">Quel type d’aide ? </w:t>
      </w:r>
    </w:p>
    <w:p w:rsidR="00FD7629" w:rsidRDefault="00FD7629" w:rsidP="00FD7629">
      <w:r>
        <w:t>Montant de l'aide = 50% x Q x (P-180 €/MWh)</w:t>
      </w:r>
    </w:p>
    <w:p w:rsidR="00FD7629" w:rsidRDefault="00FD7629" w:rsidP="00FD7629">
      <w:pPr>
        <w:pStyle w:val="Exemple"/>
      </w:pPr>
      <w:r>
        <w:t>Q : représente le volume d'électricité consommé</w:t>
      </w:r>
    </w:p>
    <w:p w:rsidR="00FD7629" w:rsidRDefault="00FD7629" w:rsidP="00FD7629">
      <w:pPr>
        <w:pStyle w:val="Exemple"/>
      </w:pPr>
      <w:r>
        <w:t>P : représente le prix de l'électricité payé, hors acheminement et HT.</w:t>
      </w:r>
    </w:p>
    <w:p w:rsidR="00FD7629" w:rsidRPr="008719DC" w:rsidRDefault="00FD7629" w:rsidP="00FD7629">
      <w:pPr>
        <w:pStyle w:val="Titre3"/>
      </w:pPr>
      <w:r w:rsidRPr="008719DC">
        <w:lastRenderedPageBreak/>
        <w:t xml:space="preserve">Comment faire la demande ? </w:t>
      </w:r>
    </w:p>
    <w:p w:rsidR="00FD7629" w:rsidRDefault="00FD7629" w:rsidP="00FD7629">
      <w:r>
        <w:t xml:space="preserve">Le client doit envoyer à son fournisseur d’énergie une </w:t>
      </w:r>
      <w:hyperlink r:id="rId6" w:history="1">
        <w:r w:rsidRPr="007E54FB">
          <w:rPr>
            <w:rStyle w:val="Lienhypertexte"/>
          </w:rPr>
          <w:t xml:space="preserve">attestation </w:t>
        </w:r>
        <w:r>
          <w:rPr>
            <w:rStyle w:val="Lienhypertexte"/>
          </w:rPr>
          <w:t>sur</w:t>
        </w:r>
      </w:hyperlink>
      <w:r>
        <w:rPr>
          <w:rStyle w:val="Lienhypertexte"/>
        </w:rPr>
        <w:t xml:space="preserve"> l’honneur</w:t>
      </w:r>
      <w:r>
        <w:t xml:space="preserve"> avant le </w:t>
      </w:r>
      <w:r>
        <w:br/>
        <w:t>31 mars 2023 (ou au plus tard un mois après la prise d'effet de leur contrat si elle est postérieure au 28 février 2023).</w:t>
      </w:r>
    </w:p>
    <w:p w:rsidR="00FD7629" w:rsidRPr="0029713E" w:rsidRDefault="00FD7629" w:rsidP="00FD7629">
      <w:pPr>
        <w:pStyle w:val="Titre2"/>
      </w:pPr>
      <w:r w:rsidRPr="008719DC">
        <w:t>Guichet d’aide au paiement des factures de gaz et d’électricité</w:t>
      </w:r>
    </w:p>
    <w:p w:rsidR="00FD7629" w:rsidRDefault="00FD7629" w:rsidP="00FD7629">
      <w:pPr>
        <w:pStyle w:val="Titre3"/>
      </w:pPr>
      <w:r>
        <w:t xml:space="preserve">Pour qui ? </w:t>
      </w:r>
    </w:p>
    <w:p w:rsidR="00FD7629" w:rsidRDefault="00FD7629" w:rsidP="00FD7629">
      <w:r>
        <w:t xml:space="preserve">Les entreprises doivent constater une augmentation de plus de 50 % du prix de l'énergie sur le mois ou la période éligible (deux mois) par rapport au prix moyen payé en 2021 et justifier que leurs dépenses d'énergie pendant la même période représentent plus de </w:t>
      </w:r>
      <w:r>
        <w:br/>
        <w:t xml:space="preserve">3 % du chiffre d'affaires 2021. </w:t>
      </w:r>
    </w:p>
    <w:p w:rsidR="00FD7629" w:rsidRDefault="00FD7629" w:rsidP="00FD7629">
      <w:r>
        <w:t xml:space="preserve">Pour les entreprises qui présentent des dépenses d'énergie plus importantes, une aide renforcée (50M€ ou 150 M€), peut être mobilisé à condition de justifier également d’un excédent brut d'exploitation négatif ou en baisse de 40 % sur la période. </w:t>
      </w:r>
    </w:p>
    <w:p w:rsidR="00FD7629" w:rsidRDefault="00FD7629" w:rsidP="00FD7629">
      <w:pPr>
        <w:pStyle w:val="Titre3"/>
      </w:pPr>
      <w:r>
        <w:t xml:space="preserve">Quel type d’aide ? </w:t>
      </w:r>
    </w:p>
    <w:p w:rsidR="00FD7629" w:rsidRDefault="00FD7629" w:rsidP="00FD7629">
      <w:r>
        <w:t>Le montant d'aide correspond à 50 % des coûts éligibles.</w:t>
      </w:r>
    </w:p>
    <w:p w:rsidR="00FD7629" w:rsidRDefault="00FD7629" w:rsidP="00FD7629">
      <w:r>
        <w:t>Pour les aides allant jusqu'à 50 M€, le montant correspond à 65 % des coûts éligibles. Pour les aides allant jusqu'à 150M€, le montant correspond à 80 % des coûts éligibles.</w:t>
      </w:r>
    </w:p>
    <w:p w:rsidR="00FD7629" w:rsidRDefault="00FD7629" w:rsidP="00FD7629">
      <w:pPr>
        <w:pStyle w:val="Titre3"/>
      </w:pPr>
      <w:r w:rsidRPr="008719DC">
        <w:t xml:space="preserve">Comment faire la demande ? </w:t>
      </w:r>
    </w:p>
    <w:p w:rsidR="00FD7629" w:rsidRDefault="00FD7629" w:rsidP="00FD7629">
      <w:r>
        <w:t xml:space="preserve">Les demandes sont déposées de manière dématérialisée sur le site </w:t>
      </w:r>
      <w:hyperlink r:id="rId7" w:history="1">
        <w:r w:rsidRPr="00050503">
          <w:rPr>
            <w:rStyle w:val="Lienhypertexte"/>
          </w:rPr>
          <w:t>impots.gouv.fr</w:t>
        </w:r>
      </w:hyperlink>
      <w:r>
        <w:t xml:space="preserve"> </w:t>
      </w:r>
    </w:p>
    <w:p w:rsidR="00FD7629" w:rsidRPr="00D4219C" w:rsidRDefault="00FD7629" w:rsidP="00FD7629">
      <w:pPr>
        <w:pStyle w:val="Attention"/>
        <w:rPr>
          <w:rFonts w:cs="Times New Roman"/>
          <w:color w:val="9BBB59" w:themeColor="accent3"/>
          <w:u w:val="single"/>
        </w:rPr>
      </w:pPr>
      <w:r>
        <w:t xml:space="preserve">Une attestation de l’expert-comptable est nécessaire pour les aides plafonnées à </w:t>
      </w:r>
      <w:r>
        <w:br/>
        <w:t>50 M€ ou 150 M€</w:t>
      </w:r>
    </w:p>
    <w:p w:rsidR="00FD7629" w:rsidRDefault="00FD7629" w:rsidP="00FD7629">
      <w:pPr>
        <w:pStyle w:val="Titre2"/>
        <w:rPr>
          <w:bCs/>
        </w:rPr>
      </w:pPr>
      <w:r>
        <w:rPr>
          <w:bCs/>
        </w:rPr>
        <w:t>Autres mesures pour accompagner les entreprises</w:t>
      </w:r>
    </w:p>
    <w:p w:rsidR="00FD7629" w:rsidRDefault="00FD7629" w:rsidP="00FD7629">
      <w:r>
        <w:t xml:space="preserve">D’autres mesures peuvent être sollicitées par les entreprises : </w:t>
      </w:r>
    </w:p>
    <w:p w:rsidR="00FD7629" w:rsidRDefault="00FD7629" w:rsidP="00FD7629">
      <w:pPr>
        <w:pStyle w:val="pucecarre"/>
      </w:pPr>
      <w:r>
        <w:t>Le r</w:t>
      </w:r>
      <w:r w:rsidRPr="00D4219C">
        <w:t>eport du paiement des impôts et cotisations sociales</w:t>
      </w:r>
      <w:r>
        <w:t xml:space="preserve"> (sur demande auprès de l’administration) ;</w:t>
      </w:r>
    </w:p>
    <w:p w:rsidR="00FD7629" w:rsidRDefault="00FD7629" w:rsidP="00FD7629">
      <w:pPr>
        <w:pStyle w:val="pucecarre"/>
      </w:pPr>
      <w:r>
        <w:t>L’é</w:t>
      </w:r>
      <w:r w:rsidRPr="00D4219C">
        <w:t>talement des factures d'énergie</w:t>
      </w:r>
      <w:r>
        <w:t xml:space="preserve"> (sur demande auprès du fournisseur)</w:t>
      </w:r>
    </w:p>
    <w:p w:rsidR="00FD7629" w:rsidRDefault="00FD7629" w:rsidP="00FD7629">
      <w:pPr>
        <w:pStyle w:val="pucecarre"/>
      </w:pPr>
      <w:r>
        <w:t>R</w:t>
      </w:r>
      <w:r w:rsidRPr="00D4219C">
        <w:t>ésili</w:t>
      </w:r>
      <w:r>
        <w:t>ation</w:t>
      </w:r>
      <w:r w:rsidRPr="00D4219C">
        <w:t xml:space="preserve"> </w:t>
      </w:r>
      <w:r>
        <w:t>d</w:t>
      </w:r>
      <w:r w:rsidRPr="00D4219C">
        <w:t>es contrats sans frais</w:t>
      </w:r>
      <w:r>
        <w:t xml:space="preserve"> (pour le secteur des boulangeries)</w:t>
      </w:r>
    </w:p>
    <w:p w:rsidR="00FD7629" w:rsidRDefault="00FD7629" w:rsidP="00FD7629">
      <w:pPr>
        <w:pStyle w:val="pucecarre"/>
        <w:numPr>
          <w:ilvl w:val="0"/>
          <w:numId w:val="0"/>
        </w:numPr>
        <w:ind w:left="567" w:hanging="215"/>
      </w:pPr>
    </w:p>
    <w:bookmarkEnd w:id="0"/>
    <w:p w:rsidR="00FD7629" w:rsidRPr="00B53133" w:rsidRDefault="00FD7629" w:rsidP="00FD7629">
      <w:pPr>
        <w:pStyle w:val="Encadrvert"/>
        <w:jc w:val="left"/>
      </w:pPr>
      <w:r>
        <w:t>« Contactez votre expert-comptable pour vous accompagner »</w:t>
      </w:r>
    </w:p>
    <w:p w:rsidR="00FD7629" w:rsidRDefault="00FD7629"/>
    <w:sectPr w:rsidR="00FD7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3.6pt;height:53.4pt" o:bullet="t">
        <v:imagedata r:id="rId1" o:title="vert@300x"/>
      </v:shape>
    </w:pict>
  </w:numPicBullet>
  <w:abstractNum w:abstractNumId="0" w15:restartNumberingAfterBreak="0">
    <w:nsid w:val="01FB25BE"/>
    <w:multiLevelType w:val="hybridMultilevel"/>
    <w:tmpl w:val="3AB46E4C"/>
    <w:lvl w:ilvl="0" w:tplc="DC22C558">
      <w:start w:val="1"/>
      <w:numFmt w:val="bullet"/>
      <w:pStyle w:val="Attention"/>
      <w:lvlText w:val=""/>
      <w:lvlJc w:val="left"/>
      <w:pPr>
        <w:ind w:left="212" w:hanging="360"/>
      </w:pPr>
      <w:rPr>
        <w:rFonts w:ascii="Wingdings" w:hAnsi="Wingdings" w:hint="default"/>
        <w:b/>
        <w:color w:val="4F81BD" w:themeColor="accent1"/>
        <w:sz w:val="36"/>
      </w:rPr>
    </w:lvl>
    <w:lvl w:ilvl="1" w:tplc="040C0003" w:tentative="1">
      <w:start w:val="1"/>
      <w:numFmt w:val="bullet"/>
      <w:lvlText w:val="o"/>
      <w:lvlJc w:val="left"/>
      <w:pPr>
        <w:ind w:left="932" w:hanging="360"/>
      </w:pPr>
      <w:rPr>
        <w:rFonts w:ascii="Courier New" w:hAnsi="Courier New" w:hint="default"/>
      </w:rPr>
    </w:lvl>
    <w:lvl w:ilvl="2" w:tplc="040C0005" w:tentative="1">
      <w:start w:val="1"/>
      <w:numFmt w:val="bullet"/>
      <w:lvlText w:val=""/>
      <w:lvlJc w:val="left"/>
      <w:pPr>
        <w:ind w:left="1652" w:hanging="360"/>
      </w:pPr>
      <w:rPr>
        <w:rFonts w:ascii="Wingdings" w:hAnsi="Wingdings" w:hint="default"/>
      </w:rPr>
    </w:lvl>
    <w:lvl w:ilvl="3" w:tplc="040C0001" w:tentative="1">
      <w:start w:val="1"/>
      <w:numFmt w:val="bullet"/>
      <w:lvlText w:val=""/>
      <w:lvlJc w:val="left"/>
      <w:pPr>
        <w:ind w:left="2372" w:hanging="360"/>
      </w:pPr>
      <w:rPr>
        <w:rFonts w:ascii="Symbol" w:hAnsi="Symbol" w:hint="default"/>
      </w:rPr>
    </w:lvl>
    <w:lvl w:ilvl="4" w:tplc="040C0003" w:tentative="1">
      <w:start w:val="1"/>
      <w:numFmt w:val="bullet"/>
      <w:lvlText w:val="o"/>
      <w:lvlJc w:val="left"/>
      <w:pPr>
        <w:ind w:left="3092" w:hanging="360"/>
      </w:pPr>
      <w:rPr>
        <w:rFonts w:ascii="Courier New" w:hAnsi="Courier New" w:hint="default"/>
      </w:rPr>
    </w:lvl>
    <w:lvl w:ilvl="5" w:tplc="040C0005" w:tentative="1">
      <w:start w:val="1"/>
      <w:numFmt w:val="bullet"/>
      <w:lvlText w:val=""/>
      <w:lvlJc w:val="left"/>
      <w:pPr>
        <w:ind w:left="3812" w:hanging="360"/>
      </w:pPr>
      <w:rPr>
        <w:rFonts w:ascii="Wingdings" w:hAnsi="Wingdings" w:hint="default"/>
      </w:rPr>
    </w:lvl>
    <w:lvl w:ilvl="6" w:tplc="040C0001" w:tentative="1">
      <w:start w:val="1"/>
      <w:numFmt w:val="bullet"/>
      <w:lvlText w:val=""/>
      <w:lvlJc w:val="left"/>
      <w:pPr>
        <w:ind w:left="4532" w:hanging="360"/>
      </w:pPr>
      <w:rPr>
        <w:rFonts w:ascii="Symbol" w:hAnsi="Symbol" w:hint="default"/>
      </w:rPr>
    </w:lvl>
    <w:lvl w:ilvl="7" w:tplc="040C0003" w:tentative="1">
      <w:start w:val="1"/>
      <w:numFmt w:val="bullet"/>
      <w:lvlText w:val="o"/>
      <w:lvlJc w:val="left"/>
      <w:pPr>
        <w:ind w:left="5252" w:hanging="360"/>
      </w:pPr>
      <w:rPr>
        <w:rFonts w:ascii="Courier New" w:hAnsi="Courier New" w:hint="default"/>
      </w:rPr>
    </w:lvl>
    <w:lvl w:ilvl="8" w:tplc="040C0005" w:tentative="1">
      <w:start w:val="1"/>
      <w:numFmt w:val="bullet"/>
      <w:lvlText w:val=""/>
      <w:lvlJc w:val="left"/>
      <w:pPr>
        <w:ind w:left="5972" w:hanging="360"/>
      </w:pPr>
      <w:rPr>
        <w:rFonts w:ascii="Wingdings" w:hAnsi="Wingdings" w:hint="default"/>
      </w:rPr>
    </w:lvl>
  </w:abstractNum>
  <w:abstractNum w:abstractNumId="1" w15:restartNumberingAfterBreak="0">
    <w:nsid w:val="265C594E"/>
    <w:multiLevelType w:val="multilevel"/>
    <w:tmpl w:val="3920C8E2"/>
    <w:lvl w:ilvl="0">
      <w:start w:val="1"/>
      <w:numFmt w:val="bullet"/>
      <w:pStyle w:val="Titre3"/>
      <w:lvlText w:val=""/>
      <w:lvlJc w:val="left"/>
      <w:pPr>
        <w:ind w:left="720" w:hanging="360"/>
      </w:pPr>
      <w:rPr>
        <w:rFonts w:ascii="Symbol" w:hAnsi="Symbol" w:hint="default"/>
        <w:b/>
        <w:i w:val="0"/>
        <w:color w:val="509B50"/>
        <w:sz w:val="24"/>
        <w:szCs w:val="24"/>
      </w:rPr>
    </w:lvl>
    <w:lvl w:ilvl="1">
      <w:start w:val="1"/>
      <w:numFmt w:val="decimal"/>
      <w:lvlText w:val="%1.%2."/>
      <w:lvlJc w:val="left"/>
      <w:pPr>
        <w:ind w:left="1152" w:hanging="432"/>
      </w:pPr>
      <w:rPr>
        <w:rFonts w:asciiTheme="minorHAnsi" w:eastAsiaTheme="minorEastAsia" w:hAnsiTheme="minorHAnsi" w:cs="Times New Roman"/>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 w15:restartNumberingAfterBreak="0">
    <w:nsid w:val="7103518D"/>
    <w:multiLevelType w:val="hybridMultilevel"/>
    <w:tmpl w:val="B7363D3A"/>
    <w:lvl w:ilvl="0" w:tplc="32B83B40">
      <w:start w:val="1"/>
      <w:numFmt w:val="bullet"/>
      <w:pStyle w:val="Titre2"/>
      <w:lvlText w:val=""/>
      <w:lvlPicBulletId w:val="0"/>
      <w:lvlJc w:val="left"/>
      <w:pPr>
        <w:ind w:left="360" w:hanging="360"/>
      </w:pPr>
      <w:rPr>
        <w:rFonts w:ascii="Symbol" w:hAnsi="Symbol" w:hint="default"/>
        <w:color w:val="auto"/>
        <w:sz w:val="28"/>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2783814"/>
    <w:multiLevelType w:val="hybridMultilevel"/>
    <w:tmpl w:val="4B0A2D00"/>
    <w:lvl w:ilvl="0" w:tplc="C0843B54">
      <w:start w:val="1"/>
      <w:numFmt w:val="bullet"/>
      <w:pStyle w:val="pucecarre"/>
      <w:lvlText w:val=""/>
      <w:lvlJc w:val="left"/>
      <w:pPr>
        <w:ind w:left="-1451" w:hanging="360"/>
      </w:pPr>
      <w:rPr>
        <w:rFonts w:ascii="Wingdings" w:hAnsi="Wingdings" w:hint="default"/>
      </w:rPr>
    </w:lvl>
    <w:lvl w:ilvl="1" w:tplc="040C0003">
      <w:start w:val="1"/>
      <w:numFmt w:val="bullet"/>
      <w:lvlText w:val="o"/>
      <w:lvlJc w:val="left"/>
      <w:pPr>
        <w:ind w:left="-731" w:hanging="360"/>
      </w:pPr>
      <w:rPr>
        <w:rFonts w:ascii="Courier New" w:hAnsi="Courier New" w:hint="default"/>
      </w:rPr>
    </w:lvl>
    <w:lvl w:ilvl="2" w:tplc="040C0005">
      <w:start w:val="1"/>
      <w:numFmt w:val="bullet"/>
      <w:lvlText w:val=""/>
      <w:lvlJc w:val="left"/>
      <w:pPr>
        <w:ind w:left="-11" w:hanging="360"/>
      </w:pPr>
      <w:rPr>
        <w:rFonts w:ascii="Wingdings" w:hAnsi="Wingdings" w:hint="default"/>
      </w:rPr>
    </w:lvl>
    <w:lvl w:ilvl="3" w:tplc="040C0001" w:tentative="1">
      <w:start w:val="1"/>
      <w:numFmt w:val="bullet"/>
      <w:lvlText w:val=""/>
      <w:lvlJc w:val="left"/>
      <w:pPr>
        <w:ind w:left="709" w:hanging="360"/>
      </w:pPr>
      <w:rPr>
        <w:rFonts w:ascii="Symbol" w:hAnsi="Symbol" w:hint="default"/>
      </w:rPr>
    </w:lvl>
    <w:lvl w:ilvl="4" w:tplc="040C0003" w:tentative="1">
      <w:start w:val="1"/>
      <w:numFmt w:val="bullet"/>
      <w:lvlText w:val="o"/>
      <w:lvlJc w:val="left"/>
      <w:pPr>
        <w:ind w:left="1429" w:hanging="360"/>
      </w:pPr>
      <w:rPr>
        <w:rFonts w:ascii="Courier New" w:hAnsi="Courier New" w:hint="default"/>
      </w:rPr>
    </w:lvl>
    <w:lvl w:ilvl="5" w:tplc="040C0005" w:tentative="1">
      <w:start w:val="1"/>
      <w:numFmt w:val="bullet"/>
      <w:lvlText w:val=""/>
      <w:lvlJc w:val="left"/>
      <w:pPr>
        <w:ind w:left="2149" w:hanging="360"/>
      </w:pPr>
      <w:rPr>
        <w:rFonts w:ascii="Wingdings" w:hAnsi="Wingdings" w:hint="default"/>
      </w:rPr>
    </w:lvl>
    <w:lvl w:ilvl="6" w:tplc="040C0001" w:tentative="1">
      <w:start w:val="1"/>
      <w:numFmt w:val="bullet"/>
      <w:lvlText w:val=""/>
      <w:lvlJc w:val="left"/>
      <w:pPr>
        <w:ind w:left="2869" w:hanging="360"/>
      </w:pPr>
      <w:rPr>
        <w:rFonts w:ascii="Symbol" w:hAnsi="Symbol" w:hint="default"/>
      </w:rPr>
    </w:lvl>
    <w:lvl w:ilvl="7" w:tplc="040C0003" w:tentative="1">
      <w:start w:val="1"/>
      <w:numFmt w:val="bullet"/>
      <w:lvlText w:val="o"/>
      <w:lvlJc w:val="left"/>
      <w:pPr>
        <w:ind w:left="3589" w:hanging="360"/>
      </w:pPr>
      <w:rPr>
        <w:rFonts w:ascii="Courier New" w:hAnsi="Courier New" w:hint="default"/>
      </w:rPr>
    </w:lvl>
    <w:lvl w:ilvl="8" w:tplc="040C0005" w:tentative="1">
      <w:start w:val="1"/>
      <w:numFmt w:val="bullet"/>
      <w:lvlText w:val=""/>
      <w:lvlJc w:val="left"/>
      <w:pPr>
        <w:ind w:left="4309" w:hanging="360"/>
      </w:pPr>
      <w:rPr>
        <w:rFonts w:ascii="Wingdings" w:hAnsi="Wingdings" w:hint="default"/>
      </w:rPr>
    </w:lvl>
  </w:abstractNum>
  <w:num w:numId="1" w16cid:durableId="1833985901">
    <w:abstractNumId w:val="2"/>
  </w:num>
  <w:num w:numId="2" w16cid:durableId="1571815675">
    <w:abstractNumId w:val="3"/>
  </w:num>
  <w:num w:numId="3" w16cid:durableId="1128934502">
    <w:abstractNumId w:val="0"/>
  </w:num>
  <w:num w:numId="4" w16cid:durableId="198269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29"/>
    <w:rsid w:val="00F04583"/>
    <w:rsid w:val="00FD7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B51A"/>
  <w15:chartTrackingRefBased/>
  <w15:docId w15:val="{FF8494D4-5424-4ABA-BA2B-1C76ADFD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29"/>
    <w:pPr>
      <w:spacing w:before="120" w:after="120" w:line="240" w:lineRule="auto"/>
      <w:jc w:val="both"/>
    </w:pPr>
    <w:rPr>
      <w:rFonts w:ascii="Calibri" w:eastAsia="Times New Roman" w:hAnsi="Calibri" w:cs="Calibri"/>
      <w:sz w:val="24"/>
      <w:szCs w:val="24"/>
      <w:lang w:eastAsia="fr-FR"/>
    </w:rPr>
  </w:style>
  <w:style w:type="paragraph" w:styleId="Titre1">
    <w:name w:val="heading 1"/>
    <w:basedOn w:val="Normal"/>
    <w:next w:val="Normal"/>
    <w:link w:val="Titre1Car"/>
    <w:uiPriority w:val="9"/>
    <w:qFormat/>
    <w:rsid w:val="00FD7629"/>
    <w:pPr>
      <w:pBdr>
        <w:top w:val="single" w:sz="12" w:space="3" w:color="509B50"/>
        <w:bottom w:val="single" w:sz="12" w:space="3" w:color="509B50"/>
      </w:pBdr>
      <w:spacing w:before="240" w:after="480"/>
      <w:jc w:val="center"/>
      <w:outlineLvl w:val="0"/>
    </w:pPr>
    <w:rPr>
      <w:b/>
      <w:bCs/>
      <w:caps/>
      <w:color w:val="509B50"/>
      <w:sz w:val="36"/>
      <w:szCs w:val="28"/>
    </w:rPr>
  </w:style>
  <w:style w:type="paragraph" w:styleId="Titre2">
    <w:name w:val="heading 2"/>
    <w:basedOn w:val="Normal"/>
    <w:next w:val="Normal"/>
    <w:link w:val="Titre2Car"/>
    <w:uiPriority w:val="9"/>
    <w:unhideWhenUsed/>
    <w:qFormat/>
    <w:rsid w:val="00FD7629"/>
    <w:pPr>
      <w:numPr>
        <w:numId w:val="1"/>
      </w:numPr>
      <w:spacing w:before="360" w:after="240"/>
      <w:contextualSpacing/>
      <w:outlineLvl w:val="1"/>
    </w:pPr>
    <w:rPr>
      <w:b/>
      <w:color w:val="000000" w:themeColor="text1"/>
      <w:sz w:val="28"/>
      <w:szCs w:val="28"/>
    </w:rPr>
  </w:style>
  <w:style w:type="paragraph" w:styleId="Titre3">
    <w:name w:val="heading 3"/>
    <w:basedOn w:val="Normal"/>
    <w:next w:val="Normal"/>
    <w:link w:val="Titre3Car"/>
    <w:uiPriority w:val="9"/>
    <w:unhideWhenUsed/>
    <w:qFormat/>
    <w:rsid w:val="00FD7629"/>
    <w:pPr>
      <w:widowControl w:val="0"/>
      <w:numPr>
        <w:numId w:val="4"/>
      </w:numPr>
      <w:outlineLvl w:val="2"/>
    </w:pPr>
    <w:rPr>
      <w:b/>
      <w:color w:val="509B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7629"/>
    <w:rPr>
      <w:rFonts w:ascii="Calibri" w:eastAsia="Times New Roman" w:hAnsi="Calibri" w:cs="Calibri"/>
      <w:b/>
      <w:bCs/>
      <w:caps/>
      <w:color w:val="509B50"/>
      <w:sz w:val="36"/>
      <w:szCs w:val="28"/>
      <w:lang w:eastAsia="fr-FR"/>
    </w:rPr>
  </w:style>
  <w:style w:type="character" w:customStyle="1" w:styleId="Titre2Car">
    <w:name w:val="Titre 2 Car"/>
    <w:basedOn w:val="Policepardfaut"/>
    <w:link w:val="Titre2"/>
    <w:uiPriority w:val="9"/>
    <w:rsid w:val="00FD7629"/>
    <w:rPr>
      <w:rFonts w:ascii="Calibri" w:eastAsia="Times New Roman" w:hAnsi="Calibri" w:cs="Calibri"/>
      <w:b/>
      <w:color w:val="000000" w:themeColor="text1"/>
      <w:sz w:val="28"/>
      <w:szCs w:val="28"/>
      <w:lang w:eastAsia="fr-FR"/>
    </w:rPr>
  </w:style>
  <w:style w:type="character" w:customStyle="1" w:styleId="Titre3Car">
    <w:name w:val="Titre 3 Car"/>
    <w:basedOn w:val="Policepardfaut"/>
    <w:link w:val="Titre3"/>
    <w:uiPriority w:val="9"/>
    <w:rsid w:val="00FD7629"/>
    <w:rPr>
      <w:rFonts w:ascii="Calibri" w:eastAsia="Times New Roman" w:hAnsi="Calibri" w:cs="Calibri"/>
      <w:b/>
      <w:color w:val="509B50"/>
      <w:sz w:val="24"/>
      <w:szCs w:val="24"/>
      <w:lang w:eastAsia="fr-FR"/>
    </w:rPr>
  </w:style>
  <w:style w:type="paragraph" w:customStyle="1" w:styleId="chap">
    <w:name w:val="chapô"/>
    <w:basedOn w:val="Normal"/>
    <w:qFormat/>
    <w:rsid w:val="00FD7629"/>
    <w:pPr>
      <w:contextualSpacing/>
      <w:jc w:val="left"/>
    </w:pPr>
    <w:rPr>
      <w:i/>
    </w:rPr>
  </w:style>
  <w:style w:type="paragraph" w:customStyle="1" w:styleId="Exemple">
    <w:name w:val="Exemple"/>
    <w:basedOn w:val="Normal"/>
    <w:qFormat/>
    <w:rsid w:val="00FD7629"/>
    <w:pPr>
      <w:shd w:val="clear" w:color="auto" w:fill="C2E0C2"/>
      <w:spacing w:before="60" w:after="60"/>
    </w:pPr>
    <w:rPr>
      <w:i/>
    </w:rPr>
  </w:style>
  <w:style w:type="paragraph" w:customStyle="1" w:styleId="Attention">
    <w:name w:val="Attention !"/>
    <w:basedOn w:val="Normal"/>
    <w:qFormat/>
    <w:rsid w:val="00FD7629"/>
    <w:pPr>
      <w:numPr>
        <w:numId w:val="3"/>
      </w:numPr>
      <w:spacing w:before="240"/>
      <w:ind w:left="567" w:hanging="567"/>
      <w:contextualSpacing/>
    </w:pPr>
    <w:rPr>
      <w:b/>
      <w:color w:val="4F81BD" w:themeColor="accent1"/>
    </w:rPr>
  </w:style>
  <w:style w:type="character" w:styleId="Lienhypertexte">
    <w:name w:val="Hyperlink"/>
    <w:basedOn w:val="Policepardfaut"/>
    <w:uiPriority w:val="99"/>
    <w:unhideWhenUsed/>
    <w:rsid w:val="00FD7629"/>
    <w:rPr>
      <w:rFonts w:cs="Times New Roman"/>
      <w:color w:val="9BBB59" w:themeColor="accent3"/>
      <w:u w:val="single"/>
    </w:rPr>
  </w:style>
  <w:style w:type="paragraph" w:customStyle="1" w:styleId="pucecarre">
    <w:name w:val="puce carrée"/>
    <w:basedOn w:val="Normal"/>
    <w:qFormat/>
    <w:rsid w:val="00FD7629"/>
    <w:pPr>
      <w:numPr>
        <w:numId w:val="2"/>
      </w:numPr>
      <w:spacing w:before="60" w:after="60"/>
      <w:ind w:left="567" w:hanging="215"/>
      <w:contextualSpacing/>
    </w:pPr>
    <w:rPr>
      <w:bCs/>
    </w:rPr>
  </w:style>
  <w:style w:type="paragraph" w:customStyle="1" w:styleId="Encadrvert">
    <w:name w:val="Encadré vert"/>
    <w:basedOn w:val="Normal"/>
    <w:qFormat/>
    <w:rsid w:val="00FD7629"/>
    <w:pPr>
      <w:pBdr>
        <w:top w:val="single" w:sz="12" w:space="4" w:color="509B50"/>
        <w:left w:val="single" w:sz="12" w:space="4" w:color="509B50"/>
        <w:bottom w:val="single" w:sz="12" w:space="4" w:color="509B50"/>
        <w:right w:val="single" w:sz="12" w:space="4" w:color="509B50"/>
      </w:pBd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pots.gouv.fr/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logie.gouv.fr/sites/default/files/20230102%20Mod%C3%A8le%20d%27attestation%20amortisseur.pdf?v=1672843719" TargetMode="External"/><Relationship Id="rId5" Type="http://schemas.openxmlformats.org/officeDocument/2006/relationships/hyperlink" Target="https://www.ecologie.gouv.fr/sites/default/files/20230102%20Mod%C3%A8le%20d%27attestation%20amortisseur.pdf?v=1672843719"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3111</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Roy</dc:creator>
  <cp:keywords/>
  <dc:description/>
  <cp:lastModifiedBy>Christelle Roy</cp:lastModifiedBy>
  <cp:revision>1</cp:revision>
  <dcterms:created xsi:type="dcterms:W3CDTF">2023-01-17T14:11:00Z</dcterms:created>
  <dcterms:modified xsi:type="dcterms:W3CDTF">2023-01-17T14:13:00Z</dcterms:modified>
</cp:coreProperties>
</file>